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00EC3" w14:textId="77777777" w:rsidR="00DA784A" w:rsidRPr="00461166" w:rsidRDefault="00DA784A">
      <w:pPr>
        <w:pStyle w:val="Heading2"/>
        <w:jc w:val="center"/>
        <w:rPr>
          <w:i/>
        </w:rPr>
      </w:pPr>
      <w:bookmarkStart w:id="0" w:name="_GoBack"/>
      <w:bookmarkEnd w:id="0"/>
      <w:r w:rsidRPr="00461166">
        <w:rPr>
          <w:i/>
        </w:rPr>
        <w:t>Warwickshire History</w:t>
      </w:r>
    </w:p>
    <w:p w14:paraId="2F334767" w14:textId="77777777" w:rsidR="00DA784A" w:rsidRDefault="00DA784A">
      <w:pPr>
        <w:ind w:left="284" w:hanging="284"/>
        <w:rPr>
          <w:b/>
        </w:rPr>
      </w:pPr>
    </w:p>
    <w:p w14:paraId="5D46F7DC" w14:textId="77777777" w:rsidR="00DA784A" w:rsidRDefault="00DA784A">
      <w:pPr>
        <w:pStyle w:val="Heading3"/>
      </w:pPr>
      <w:r>
        <w:t>Notes for contributors</w:t>
      </w:r>
    </w:p>
    <w:p w14:paraId="069F8AAB" w14:textId="77777777" w:rsidR="00DA784A" w:rsidRDefault="00DA784A">
      <w:pPr>
        <w:ind w:left="284" w:hanging="284"/>
        <w:rPr>
          <w:b/>
        </w:rPr>
      </w:pPr>
    </w:p>
    <w:p w14:paraId="31976A22" w14:textId="77777777" w:rsidR="00DA784A" w:rsidRDefault="00DA784A">
      <w:pPr>
        <w:pStyle w:val="Heading4"/>
      </w:pPr>
      <w:r>
        <w:t>General Format</w:t>
      </w:r>
    </w:p>
    <w:p w14:paraId="18CF740B" w14:textId="77777777" w:rsidR="00DA784A" w:rsidRDefault="00DA784A">
      <w:pPr>
        <w:ind w:left="284" w:hanging="284"/>
        <w:rPr>
          <w:b/>
        </w:rPr>
      </w:pPr>
    </w:p>
    <w:p w14:paraId="69A38DBB" w14:textId="77777777" w:rsidR="00DA784A" w:rsidRDefault="00DA784A">
      <w:pPr>
        <w:ind w:left="284" w:hanging="284"/>
      </w:pPr>
      <w:r>
        <w:t>1. Articles should be type-set</w:t>
      </w:r>
      <w:r w:rsidR="008E4A37">
        <w:t xml:space="preserve"> in Times New Roman</w:t>
      </w:r>
      <w:r>
        <w:t xml:space="preserve">, </w:t>
      </w:r>
      <w:r w:rsidR="00B71480">
        <w:t xml:space="preserve">12 pt., </w:t>
      </w:r>
      <w:r>
        <w:t xml:space="preserve">line-and-a-half spaced, unjustified and with a margin of at least 2.5 cm. </w:t>
      </w:r>
      <w:r w:rsidR="008E4A37">
        <w:t xml:space="preserve"> </w:t>
      </w:r>
      <w:r>
        <w:t>Hard copy format is acceptable but it is preferred that contributors submit articles in Microsoft Word format, either on disk or as an email attachment.</w:t>
      </w:r>
    </w:p>
    <w:p w14:paraId="42812091" w14:textId="77777777" w:rsidR="00DA784A" w:rsidRDefault="00DA784A">
      <w:pPr>
        <w:ind w:left="284" w:hanging="284"/>
      </w:pPr>
    </w:p>
    <w:p w14:paraId="6ECB2826" w14:textId="77777777" w:rsidR="00DA784A" w:rsidRDefault="00DA784A">
      <w:pPr>
        <w:ind w:left="284" w:hanging="284"/>
      </w:pPr>
      <w:r>
        <w:t>2.  The first line of each paragraph</w:t>
      </w:r>
      <w:r w:rsidR="00197FFA">
        <w:t>, apart from the first,</w:t>
      </w:r>
      <w:r>
        <w:t xml:space="preserve"> should be indented. </w:t>
      </w:r>
    </w:p>
    <w:p w14:paraId="02D032F8" w14:textId="77777777" w:rsidR="00DA784A" w:rsidRDefault="00DA784A">
      <w:pPr>
        <w:ind w:left="284" w:hanging="284"/>
      </w:pPr>
    </w:p>
    <w:p w14:paraId="083FFCA2" w14:textId="77777777" w:rsidR="00DA784A" w:rsidRDefault="00DA784A">
      <w:pPr>
        <w:ind w:left="284" w:hanging="284"/>
      </w:pPr>
      <w:r>
        <w:t xml:space="preserve">3. Direct quotations of less than three lines should be placed within single quotation marks: 'The quality of mercy is not strained'. </w:t>
      </w:r>
      <w:r w:rsidR="008E4A37">
        <w:t xml:space="preserve"> </w:t>
      </w:r>
      <w:r>
        <w:t>Quotations longer than this should be indented without quotation marks.</w:t>
      </w:r>
      <w:r w:rsidR="008E4A37">
        <w:t xml:space="preserve">  Quotations within quotations should use double quotation marks.</w:t>
      </w:r>
    </w:p>
    <w:p w14:paraId="19CB9099" w14:textId="77777777" w:rsidR="00DA784A" w:rsidRDefault="00DA784A">
      <w:pPr>
        <w:ind w:left="284" w:hanging="284"/>
      </w:pPr>
    </w:p>
    <w:p w14:paraId="3176FB77" w14:textId="77777777" w:rsidR="00DA784A" w:rsidRDefault="00DA784A">
      <w:pPr>
        <w:ind w:left="284" w:hanging="284"/>
      </w:pPr>
      <w:r>
        <w:t xml:space="preserve">4. </w:t>
      </w:r>
      <w:r w:rsidR="00B74000">
        <w:t>The titles of n</w:t>
      </w:r>
      <w:r>
        <w:t>ewspaper</w:t>
      </w:r>
      <w:r w:rsidR="00B74000">
        <w:t>s</w:t>
      </w:r>
      <w:r>
        <w:t xml:space="preserve"> and books should be in italics. </w:t>
      </w:r>
      <w:r w:rsidR="008E4A37">
        <w:t xml:space="preserve"> </w:t>
      </w:r>
      <w:r>
        <w:t>Non-English words and expressions should also be italicised (</w:t>
      </w:r>
      <w:r>
        <w:rPr>
          <w:i/>
        </w:rPr>
        <w:t>pro rata</w:t>
      </w:r>
      <w:r>
        <w:t xml:space="preserve">). </w:t>
      </w:r>
    </w:p>
    <w:p w14:paraId="3C99D02C" w14:textId="77777777" w:rsidR="00DA784A" w:rsidRDefault="00DA784A">
      <w:pPr>
        <w:ind w:left="284" w:hanging="284"/>
      </w:pPr>
    </w:p>
    <w:p w14:paraId="73D3F233" w14:textId="77777777" w:rsidR="00DA784A" w:rsidRDefault="00DA784A">
      <w:pPr>
        <w:ind w:left="284" w:hanging="284"/>
      </w:pPr>
      <w:r>
        <w:t>5. Figures under 100 should be written out (ninety-eight) except for complex weights and measures: e.g. £5 2s.</w:t>
      </w:r>
      <w:r w:rsidR="00844C6D">
        <w:t xml:space="preserve"> </w:t>
      </w:r>
      <w:r>
        <w:t>5d.</w:t>
      </w:r>
      <w:r w:rsidR="00B74000">
        <w:t xml:space="preserve"> This includes centuries, e.g., ‘nineteenth century’.</w:t>
      </w:r>
    </w:p>
    <w:p w14:paraId="24FF7854" w14:textId="77777777" w:rsidR="00DA784A" w:rsidRDefault="00DA784A">
      <w:pPr>
        <w:ind w:left="284" w:hanging="284"/>
      </w:pPr>
    </w:p>
    <w:p w14:paraId="77B7F445" w14:textId="77777777" w:rsidR="00DA784A" w:rsidRDefault="00DA784A">
      <w:pPr>
        <w:ind w:left="284" w:hanging="284"/>
      </w:pPr>
      <w:r>
        <w:t xml:space="preserve">6. Use 'per cent' (not %). </w:t>
      </w:r>
    </w:p>
    <w:p w14:paraId="6722FF63" w14:textId="77777777" w:rsidR="00DA784A" w:rsidRDefault="00DA784A">
      <w:pPr>
        <w:ind w:left="284" w:hanging="284"/>
      </w:pPr>
    </w:p>
    <w:p w14:paraId="44AC70C6" w14:textId="77777777" w:rsidR="00DA784A" w:rsidRDefault="00DA784A">
      <w:pPr>
        <w:ind w:left="284" w:hanging="284"/>
      </w:pPr>
      <w:r>
        <w:t>7. Avoid excessive use of capitals. As a general rule, do not capitalize where a word is being used in a descriptive way rather than as part of an individual's title (e.g. 'It came as a shock to Bishop Roger of Worcester': 'it came as a shock to Roger bishop of Worcester'.</w:t>
      </w:r>
    </w:p>
    <w:p w14:paraId="266F46C8" w14:textId="77777777" w:rsidR="00DA784A" w:rsidRDefault="00DA784A">
      <w:pPr>
        <w:ind w:left="284" w:hanging="284"/>
      </w:pPr>
    </w:p>
    <w:p w14:paraId="15FB1AE2" w14:textId="77777777" w:rsidR="00DA784A" w:rsidRDefault="00DA784A">
      <w:pPr>
        <w:ind w:left="284" w:hanging="284"/>
      </w:pPr>
      <w:r>
        <w:t>8. Dates should be rendered: '28 December 1979'.</w:t>
      </w:r>
    </w:p>
    <w:p w14:paraId="5D431ABB" w14:textId="77777777" w:rsidR="00DA784A" w:rsidRDefault="00DA784A">
      <w:pPr>
        <w:ind w:left="284" w:hanging="284"/>
      </w:pPr>
    </w:p>
    <w:p w14:paraId="72654E79" w14:textId="77777777" w:rsidR="00DA784A" w:rsidRDefault="00DA784A">
      <w:pPr>
        <w:ind w:left="284" w:hanging="284"/>
      </w:pPr>
      <w:r>
        <w:t>9. Avoid abbreviations where possible; e.g. 'Reverend', not 'Rev.' Where they are used, only use a full point when the last letter is not the last letter of the expanded word ('Mr', 'Dr', but 'p.')</w:t>
      </w:r>
      <w:r w:rsidR="009B2A2D">
        <w:t>.</w:t>
      </w:r>
    </w:p>
    <w:p w14:paraId="3380704B" w14:textId="77777777" w:rsidR="009B2A2D" w:rsidRDefault="009B2A2D">
      <w:pPr>
        <w:ind w:left="284" w:hanging="284"/>
      </w:pPr>
    </w:p>
    <w:p w14:paraId="6160BC4B" w14:textId="77777777" w:rsidR="009B2A2D" w:rsidRPr="009B2A2D" w:rsidRDefault="009B2A2D">
      <w:pPr>
        <w:ind w:left="284" w:hanging="284"/>
        <w:rPr>
          <w:i/>
        </w:rPr>
      </w:pPr>
      <w:r>
        <w:t xml:space="preserve">10. In general, </w:t>
      </w:r>
      <w:r>
        <w:rPr>
          <w:i/>
        </w:rPr>
        <w:t xml:space="preserve">WH </w:t>
      </w:r>
      <w:r>
        <w:t xml:space="preserve">follows the </w:t>
      </w:r>
      <w:r w:rsidRPr="009B2A2D">
        <w:t>Modern Humanities Research Association</w:t>
      </w:r>
      <w:r>
        <w:t xml:space="preserve"> </w:t>
      </w:r>
      <w:r>
        <w:rPr>
          <w:i/>
        </w:rPr>
        <w:t>Style Guide.</w:t>
      </w:r>
    </w:p>
    <w:p w14:paraId="57247B49" w14:textId="77777777" w:rsidR="00DA784A" w:rsidRDefault="00DA784A">
      <w:pPr>
        <w:ind w:left="284" w:hanging="284"/>
      </w:pPr>
    </w:p>
    <w:p w14:paraId="2D9A8AE5" w14:textId="77777777" w:rsidR="00DA784A" w:rsidRDefault="00DA784A">
      <w:pPr>
        <w:pStyle w:val="Heading1"/>
        <w:jc w:val="center"/>
      </w:pPr>
      <w:r>
        <w:t>Notes</w:t>
      </w:r>
    </w:p>
    <w:p w14:paraId="1CCF31D5" w14:textId="77777777" w:rsidR="00DA784A" w:rsidRDefault="00DA784A">
      <w:pPr>
        <w:ind w:left="284" w:hanging="284"/>
      </w:pPr>
    </w:p>
    <w:p w14:paraId="53B78C86" w14:textId="77777777" w:rsidR="00DA784A" w:rsidRDefault="00DA784A">
      <w:pPr>
        <w:ind w:left="284" w:hanging="284"/>
      </w:pPr>
      <w:r>
        <w:t>1. Notes should be in the form of footnotes, preceded by any acknowledgements</w:t>
      </w:r>
      <w:r w:rsidR="008E4A37">
        <w:t>.  (The Editor will convert to endnotes for publication, but it is easier to edit footnotes).</w:t>
      </w:r>
      <w:r w:rsidR="003B64A3">
        <w:t xml:space="preserve"> Set in Times New Roman, 10pt.</w:t>
      </w:r>
    </w:p>
    <w:p w14:paraId="4396C9D8" w14:textId="77777777" w:rsidR="00DA784A" w:rsidRDefault="00DA784A">
      <w:pPr>
        <w:ind w:left="284" w:hanging="284"/>
      </w:pPr>
    </w:p>
    <w:p w14:paraId="0ACA4328" w14:textId="77777777" w:rsidR="00DA784A" w:rsidRDefault="00DA784A">
      <w:pPr>
        <w:ind w:left="284" w:hanging="284"/>
      </w:pPr>
      <w:r>
        <w:t>2. Please follow these guidelines for the five main categories</w:t>
      </w:r>
      <w:r w:rsidR="004F6278">
        <w:t>:</w:t>
      </w:r>
    </w:p>
    <w:p w14:paraId="0C7F074A" w14:textId="77777777" w:rsidR="00DA784A" w:rsidRDefault="00DA784A">
      <w:pPr>
        <w:ind w:left="284" w:hanging="284"/>
      </w:pPr>
    </w:p>
    <w:p w14:paraId="00474661" w14:textId="77777777" w:rsidR="00DA784A" w:rsidRDefault="00DA784A">
      <w:pPr>
        <w:ind w:left="567" w:hanging="283"/>
      </w:pPr>
      <w:r>
        <w:t>a) Published secondary work:</w:t>
      </w:r>
    </w:p>
    <w:p w14:paraId="496395F5" w14:textId="77777777" w:rsidR="00DA784A" w:rsidRDefault="00DA784A">
      <w:pPr>
        <w:ind w:left="567" w:hanging="283"/>
      </w:pPr>
      <w:r>
        <w:t xml:space="preserve">    </w:t>
      </w:r>
      <w:r>
        <w:tab/>
      </w:r>
    </w:p>
    <w:p w14:paraId="0C7CC3FB" w14:textId="77777777" w:rsidR="00DA784A" w:rsidRDefault="00DA784A">
      <w:pPr>
        <w:ind w:left="567" w:hanging="283"/>
      </w:pPr>
      <w:r>
        <w:tab/>
        <w:t xml:space="preserve">John Smith, </w:t>
      </w:r>
      <w:r>
        <w:rPr>
          <w:i/>
        </w:rPr>
        <w:t>The Beauties of Borchester</w:t>
      </w:r>
      <w:r>
        <w:t xml:space="preserve">, London 1989, p.12 </w:t>
      </w:r>
    </w:p>
    <w:p w14:paraId="29772C3B" w14:textId="77777777" w:rsidR="00DA784A" w:rsidRDefault="00DA784A">
      <w:pPr>
        <w:ind w:left="567" w:hanging="283"/>
      </w:pPr>
    </w:p>
    <w:p w14:paraId="5BE8A82D" w14:textId="77777777" w:rsidR="00DA784A" w:rsidRDefault="00DA784A">
      <w:pPr>
        <w:ind w:left="567" w:hanging="283"/>
      </w:pPr>
      <w:r>
        <w:tab/>
        <w:t>or (for multi-volume works)</w:t>
      </w:r>
      <w:r>
        <w:tab/>
      </w:r>
      <w:r>
        <w:tab/>
        <w:t xml:space="preserve"> </w:t>
      </w:r>
    </w:p>
    <w:p w14:paraId="0788B0E6" w14:textId="77777777" w:rsidR="00DA784A" w:rsidRDefault="00DA784A">
      <w:pPr>
        <w:ind w:left="567" w:hanging="283"/>
      </w:pPr>
    </w:p>
    <w:p w14:paraId="21F72646" w14:textId="77777777" w:rsidR="00DA784A" w:rsidRDefault="00DA784A">
      <w:pPr>
        <w:ind w:left="567" w:hanging="283"/>
      </w:pPr>
      <w:r>
        <w:tab/>
        <w:t xml:space="preserve">John Smith, </w:t>
      </w:r>
      <w:r>
        <w:rPr>
          <w:i/>
        </w:rPr>
        <w:t>The Beauties of Borchester</w:t>
      </w:r>
      <w:r>
        <w:t>, 3 vols, London 1989, ii, p.12</w:t>
      </w:r>
    </w:p>
    <w:p w14:paraId="2184002E" w14:textId="77777777" w:rsidR="00DA784A" w:rsidRDefault="00DA784A">
      <w:pPr>
        <w:ind w:left="567" w:hanging="283"/>
      </w:pPr>
    </w:p>
    <w:p w14:paraId="6007B9C1" w14:textId="77777777" w:rsidR="00DA784A" w:rsidRDefault="00DA784A">
      <w:pPr>
        <w:ind w:left="567" w:hanging="283"/>
      </w:pPr>
      <w:r>
        <w:t>b) Published articles</w:t>
      </w:r>
    </w:p>
    <w:p w14:paraId="236E012C" w14:textId="77777777" w:rsidR="00DA784A" w:rsidRDefault="00DA784A">
      <w:pPr>
        <w:ind w:left="567" w:hanging="283"/>
      </w:pPr>
    </w:p>
    <w:p w14:paraId="4E2FC994" w14:textId="77777777" w:rsidR="00DA784A" w:rsidRDefault="00DA784A">
      <w:pPr>
        <w:ind w:left="567" w:hanging="283"/>
      </w:pPr>
      <w:r>
        <w:tab/>
        <w:t xml:space="preserve">John Smith, 'The Beauties of Borchester', </w:t>
      </w:r>
      <w:r>
        <w:rPr>
          <w:i/>
        </w:rPr>
        <w:t>Transactions of the Borsetshire Local History Society</w:t>
      </w:r>
      <w:r>
        <w:t>, xii, 1979, pp.18-29.</w:t>
      </w:r>
    </w:p>
    <w:p w14:paraId="1A550F61" w14:textId="77777777" w:rsidR="00DA784A" w:rsidRDefault="00DA784A">
      <w:pPr>
        <w:ind w:left="567" w:hanging="283"/>
      </w:pPr>
    </w:p>
    <w:p w14:paraId="4C3BC332" w14:textId="77777777" w:rsidR="00DA784A" w:rsidRDefault="00DA784A">
      <w:pPr>
        <w:ind w:left="567" w:hanging="283"/>
      </w:pPr>
      <w:r>
        <w:t>c) Published essay</w:t>
      </w:r>
    </w:p>
    <w:p w14:paraId="2BBC2F87" w14:textId="77777777" w:rsidR="00DA784A" w:rsidRDefault="00DA784A">
      <w:pPr>
        <w:ind w:left="567" w:hanging="283"/>
      </w:pPr>
    </w:p>
    <w:p w14:paraId="6D782A21" w14:textId="77777777" w:rsidR="00DA784A" w:rsidRDefault="00DA784A">
      <w:pPr>
        <w:ind w:left="567" w:hanging="283"/>
      </w:pPr>
      <w:r>
        <w:tab/>
        <w:t xml:space="preserve">John Smith, 'The Beauties of Borchester', in Robert Cox, ed., </w:t>
      </w:r>
      <w:r>
        <w:rPr>
          <w:i/>
        </w:rPr>
        <w:t>The Beauties of English Towns</w:t>
      </w:r>
      <w:r>
        <w:t xml:space="preserve">, London 1989, pp.126-95. </w:t>
      </w:r>
    </w:p>
    <w:p w14:paraId="35F516E5" w14:textId="77777777" w:rsidR="00DA784A" w:rsidRDefault="00DA784A">
      <w:pPr>
        <w:ind w:left="567" w:hanging="283"/>
      </w:pPr>
    </w:p>
    <w:p w14:paraId="167C200B" w14:textId="77777777" w:rsidR="00DA784A" w:rsidRDefault="00DA784A">
      <w:pPr>
        <w:ind w:left="567" w:hanging="283"/>
      </w:pPr>
      <w:r>
        <w:t>d) Edited text</w:t>
      </w:r>
    </w:p>
    <w:p w14:paraId="32E5F919" w14:textId="77777777" w:rsidR="00DA784A" w:rsidRDefault="00DA784A">
      <w:pPr>
        <w:ind w:left="567" w:hanging="283"/>
      </w:pPr>
    </w:p>
    <w:p w14:paraId="3B920947" w14:textId="77777777" w:rsidR="00DA784A" w:rsidRDefault="00DA784A">
      <w:pPr>
        <w:ind w:left="567" w:hanging="283"/>
      </w:pPr>
      <w:r>
        <w:tab/>
      </w:r>
      <w:r>
        <w:rPr>
          <w:i/>
        </w:rPr>
        <w:t>The Chronicle of Borchester</w:t>
      </w:r>
      <w:r>
        <w:t>, ed. John Smith, Borsetshire Record Society, xv, 1989, p.97.</w:t>
      </w:r>
    </w:p>
    <w:p w14:paraId="6C7AB06C" w14:textId="77777777" w:rsidR="00DA784A" w:rsidRDefault="00DA784A">
      <w:pPr>
        <w:ind w:left="567" w:hanging="283"/>
        <w:rPr>
          <w:i/>
        </w:rPr>
      </w:pPr>
    </w:p>
    <w:p w14:paraId="39CF11F3" w14:textId="77777777" w:rsidR="00DA784A" w:rsidRDefault="00DA784A">
      <w:pPr>
        <w:ind w:left="567" w:hanging="283"/>
      </w:pPr>
      <w:r>
        <w:t>e) unpublished manuscript</w:t>
      </w:r>
    </w:p>
    <w:p w14:paraId="57F074B6" w14:textId="77777777" w:rsidR="00DA784A" w:rsidRDefault="00DA784A">
      <w:pPr>
        <w:ind w:left="567" w:hanging="283"/>
      </w:pPr>
    </w:p>
    <w:p w14:paraId="3EBA575D" w14:textId="77777777" w:rsidR="00DA784A" w:rsidRDefault="00DA784A">
      <w:pPr>
        <w:ind w:left="567" w:hanging="283"/>
      </w:pPr>
      <w:r>
        <w:tab/>
        <w:t xml:space="preserve">Borsetshire County Record Office (BCRO), DR 959/72, fol. 77. </w:t>
      </w:r>
    </w:p>
    <w:p w14:paraId="0DB65E2F" w14:textId="77777777" w:rsidR="00B74000" w:rsidRDefault="00B74000" w:rsidP="00B74000">
      <w:pPr>
        <w:ind w:left="567" w:hanging="283"/>
      </w:pPr>
      <w:r>
        <w:t xml:space="preserve">f) Unpublished thesis, </w:t>
      </w:r>
    </w:p>
    <w:p w14:paraId="2847EAEC" w14:textId="77777777" w:rsidR="00B74000" w:rsidRDefault="00B74000">
      <w:pPr>
        <w:ind w:left="567" w:hanging="283"/>
      </w:pPr>
    </w:p>
    <w:p w14:paraId="6A0C1BE6" w14:textId="77777777" w:rsidR="00DA784A" w:rsidRDefault="00B74000">
      <w:pPr>
        <w:ind w:left="567" w:hanging="283"/>
      </w:pPr>
      <w:r>
        <w:tab/>
        <w:t>John Smith, ‘A Study of Borsetershire place-names’, University of Borset 2015.</w:t>
      </w:r>
    </w:p>
    <w:p w14:paraId="6D974149" w14:textId="77777777" w:rsidR="00B74000" w:rsidRPr="00B74000" w:rsidRDefault="00B74000">
      <w:pPr>
        <w:ind w:left="567" w:hanging="283"/>
      </w:pPr>
    </w:p>
    <w:p w14:paraId="5EB07B96" w14:textId="77777777" w:rsidR="00DA784A" w:rsidRDefault="00DA784A">
      <w:r>
        <w:t xml:space="preserve">The full reference need only be given once. Thereafter use abbreviated form; eg. Smith, </w:t>
      </w:r>
      <w:r>
        <w:rPr>
          <w:i/>
        </w:rPr>
        <w:t>Beauties of Borchester</w:t>
      </w:r>
      <w:r w:rsidR="00E32307">
        <w:t>, p.19; BCRO.</w:t>
      </w:r>
      <w:r>
        <w:t xml:space="preserve"> </w:t>
      </w:r>
    </w:p>
    <w:p w14:paraId="33822340" w14:textId="77777777" w:rsidR="00DA784A" w:rsidRDefault="00DA784A"/>
    <w:p w14:paraId="228F2E76" w14:textId="77777777" w:rsidR="00DA784A" w:rsidRDefault="00DA784A">
      <w:r>
        <w:t xml:space="preserve">Do not use </w:t>
      </w:r>
      <w:r>
        <w:rPr>
          <w:i/>
        </w:rPr>
        <w:t>ibid., op.cit, loc.cit</w:t>
      </w:r>
      <w:r>
        <w:t xml:space="preserve">. etc. </w:t>
      </w:r>
    </w:p>
    <w:p w14:paraId="69F62108" w14:textId="77777777" w:rsidR="00DA784A" w:rsidRDefault="00DA784A"/>
    <w:p w14:paraId="225E2AA4" w14:textId="77777777" w:rsidR="00C52888" w:rsidRDefault="00C52888" w:rsidP="00C52888">
      <w:pPr>
        <w:jc w:val="center"/>
        <w:rPr>
          <w:b/>
        </w:rPr>
      </w:pPr>
      <w:r>
        <w:rPr>
          <w:b/>
        </w:rPr>
        <w:t>Illustrations</w:t>
      </w:r>
    </w:p>
    <w:p w14:paraId="11969D4A" w14:textId="77777777" w:rsidR="00C52888" w:rsidRDefault="00C52888" w:rsidP="00C52888">
      <w:pPr>
        <w:jc w:val="center"/>
        <w:rPr>
          <w:b/>
        </w:rPr>
      </w:pPr>
    </w:p>
    <w:p w14:paraId="5A1CCCD7" w14:textId="77777777" w:rsidR="00C52888" w:rsidRDefault="00C52888" w:rsidP="00C52888">
      <w:pPr>
        <w:numPr>
          <w:ilvl w:val="0"/>
          <w:numId w:val="1"/>
        </w:numPr>
      </w:pPr>
      <w:r>
        <w:t>Illustrations</w:t>
      </w:r>
    </w:p>
    <w:p w14:paraId="1DEB2D59" w14:textId="77777777" w:rsidR="006C6630" w:rsidRDefault="00B269D8" w:rsidP="00B269D8">
      <w:pPr>
        <w:numPr>
          <w:ilvl w:val="1"/>
          <w:numId w:val="1"/>
        </w:numPr>
      </w:pPr>
      <w:r>
        <w:t>Maps, photographs and drawings all count as illustrations and should go in one numbered sequence.</w:t>
      </w:r>
    </w:p>
    <w:p w14:paraId="62376F9E" w14:textId="77777777" w:rsidR="00B269D8" w:rsidRDefault="00B269D8" w:rsidP="00B269D8">
      <w:pPr>
        <w:numPr>
          <w:ilvl w:val="1"/>
          <w:numId w:val="1"/>
        </w:numPr>
      </w:pPr>
      <w:r>
        <w:t>Illustrations of all kinds must not be embedded in the tex, but sent as individual images (jpeg, tiff or png), numbered and titled.</w:t>
      </w:r>
    </w:p>
    <w:p w14:paraId="03C1FAC3" w14:textId="77777777" w:rsidR="00B269D8" w:rsidRDefault="00B269D8" w:rsidP="00B269D8">
      <w:pPr>
        <w:numPr>
          <w:ilvl w:val="1"/>
          <w:numId w:val="1"/>
        </w:numPr>
      </w:pPr>
      <w:r>
        <w:t>Please send a separate list of illustrations and captio</w:t>
      </w:r>
      <w:r w:rsidR="0091763B">
        <w:t>n</w:t>
      </w:r>
      <w:r>
        <w:t>s.</w:t>
      </w:r>
    </w:p>
    <w:p w14:paraId="43BDAFB4" w14:textId="77777777" w:rsidR="00B269D8" w:rsidRDefault="00B269D8" w:rsidP="00B269D8">
      <w:pPr>
        <w:numPr>
          <w:ilvl w:val="1"/>
          <w:numId w:val="1"/>
        </w:numPr>
      </w:pPr>
      <w:r>
        <w:t>It is the author’s responsibility to obtain permission to reproduce copyright material.</w:t>
      </w:r>
    </w:p>
    <w:p w14:paraId="5F0A7451" w14:textId="77777777" w:rsidR="00BD224B" w:rsidRDefault="00BD224B" w:rsidP="00BD224B"/>
    <w:p w14:paraId="2F1D1ECB" w14:textId="77777777" w:rsidR="00C52888" w:rsidRDefault="00BD224B" w:rsidP="00C52888">
      <w:pPr>
        <w:numPr>
          <w:ilvl w:val="0"/>
          <w:numId w:val="1"/>
        </w:numPr>
      </w:pPr>
      <w:r>
        <w:t>Tables</w:t>
      </w:r>
    </w:p>
    <w:p w14:paraId="0B3323A5" w14:textId="77777777" w:rsidR="00BD224B" w:rsidRDefault="00BD224B" w:rsidP="00B269D8">
      <w:pPr>
        <w:numPr>
          <w:ilvl w:val="1"/>
          <w:numId w:val="1"/>
        </w:numPr>
      </w:pPr>
      <w:r>
        <w:t>Tables should have their own number sequence.</w:t>
      </w:r>
    </w:p>
    <w:p w14:paraId="43EB38DF" w14:textId="77777777" w:rsidR="00B269D8" w:rsidRPr="00C52888" w:rsidRDefault="00B269D8" w:rsidP="00B269D8">
      <w:pPr>
        <w:numPr>
          <w:ilvl w:val="1"/>
          <w:numId w:val="1"/>
        </w:numPr>
      </w:pPr>
      <w:r>
        <w:t xml:space="preserve">Tables </w:t>
      </w:r>
      <w:r w:rsidR="00054689">
        <w:t>should also be submitted seperately</w:t>
      </w:r>
      <w:r>
        <w:t>, with caption, which should indicate the source of the data.</w:t>
      </w:r>
    </w:p>
    <w:sectPr w:rsidR="00B269D8" w:rsidRPr="00C5288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970BD" w14:textId="77777777" w:rsidR="00162FC6" w:rsidRDefault="00162FC6" w:rsidP="00461166">
      <w:r>
        <w:separator/>
      </w:r>
    </w:p>
  </w:endnote>
  <w:endnote w:type="continuationSeparator" w:id="0">
    <w:p w14:paraId="3C06A49D" w14:textId="77777777" w:rsidR="00162FC6" w:rsidRDefault="00162FC6" w:rsidP="0046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E09C7" w14:textId="77777777" w:rsidR="00461166" w:rsidRDefault="00461166">
    <w:pPr>
      <w:pStyle w:val="Footer"/>
    </w:pPr>
    <w:r>
      <w:tab/>
    </w:r>
    <w:r w:rsidR="009B2A2D">
      <w:tab/>
      <w:t xml:space="preserve">Last updated </w:t>
    </w:r>
    <w:r w:rsidR="00B74000">
      <w:t>August</w:t>
    </w:r>
    <w:r w:rsidR="009B2A2D">
      <w:t xml:space="preserve"> 2017</w:t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C83A4" w14:textId="77777777" w:rsidR="00162FC6" w:rsidRDefault="00162FC6" w:rsidP="00461166">
      <w:r>
        <w:separator/>
      </w:r>
    </w:p>
  </w:footnote>
  <w:footnote w:type="continuationSeparator" w:id="0">
    <w:p w14:paraId="6F64C3E2" w14:textId="77777777" w:rsidR="00162FC6" w:rsidRDefault="00162FC6" w:rsidP="004611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B2B5" w14:textId="77777777" w:rsidR="00461166" w:rsidRDefault="00461166" w:rsidP="00461166">
    <w:pPr>
      <w:pStyle w:val="Heading3"/>
    </w:pPr>
    <w:r>
      <w:t>Notes for contributors</w:t>
    </w:r>
  </w:p>
  <w:p w14:paraId="55F0B666" w14:textId="77777777" w:rsidR="00461166" w:rsidRDefault="0046116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402A8"/>
    <w:multiLevelType w:val="multilevel"/>
    <w:tmpl w:val="C50E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5CA"/>
    <w:rsid w:val="00054689"/>
    <w:rsid w:val="00131707"/>
    <w:rsid w:val="001543E7"/>
    <w:rsid w:val="00162FC6"/>
    <w:rsid w:val="0018756B"/>
    <w:rsid w:val="00197FFA"/>
    <w:rsid w:val="002B0170"/>
    <w:rsid w:val="002B549B"/>
    <w:rsid w:val="00393694"/>
    <w:rsid w:val="003B64A3"/>
    <w:rsid w:val="003D3DFB"/>
    <w:rsid w:val="00461166"/>
    <w:rsid w:val="004F6278"/>
    <w:rsid w:val="006C6630"/>
    <w:rsid w:val="00844C6D"/>
    <w:rsid w:val="008E4A37"/>
    <w:rsid w:val="0091763B"/>
    <w:rsid w:val="009B2A2D"/>
    <w:rsid w:val="00A539A8"/>
    <w:rsid w:val="00B269D8"/>
    <w:rsid w:val="00B5449B"/>
    <w:rsid w:val="00B71480"/>
    <w:rsid w:val="00B74000"/>
    <w:rsid w:val="00BD224B"/>
    <w:rsid w:val="00BD2DE6"/>
    <w:rsid w:val="00C52888"/>
    <w:rsid w:val="00D165CA"/>
    <w:rsid w:val="00DA784A"/>
    <w:rsid w:val="00DF7A29"/>
    <w:rsid w:val="00E32307"/>
    <w:rsid w:val="00E34188"/>
    <w:rsid w:val="00E36F91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8EE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4" w:hanging="284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284" w:hanging="284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ind w:left="284" w:hanging="284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ind w:left="284" w:hanging="284"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1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1166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1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1166"/>
    <w:rPr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543E7"/>
  </w:style>
  <w:style w:type="character" w:customStyle="1" w:styleId="FootnoteTextChar">
    <w:name w:val="Footnote Text Char"/>
    <w:link w:val="FootnoteText"/>
    <w:uiPriority w:val="99"/>
    <w:rsid w:val="001543E7"/>
    <w:rPr>
      <w:noProof/>
      <w:sz w:val="24"/>
      <w:szCs w:val="24"/>
    </w:rPr>
  </w:style>
  <w:style w:type="character" w:styleId="FootnoteReference">
    <w:name w:val="footnote reference"/>
    <w:uiPriority w:val="99"/>
    <w:unhideWhenUsed/>
    <w:rsid w:val="00154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69E1B5E0-BB37-C54F-AA5B-AEC01BB3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Warwickshire History</vt:lpstr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Warwickshire History</dc:title>
  <dc:subject/>
  <dc:creator>Robert Bearman</dc:creator>
  <cp:keywords/>
  <dc:description/>
  <cp:lastModifiedBy>Sylvia Pinches</cp:lastModifiedBy>
  <cp:revision>2</cp:revision>
  <dcterms:created xsi:type="dcterms:W3CDTF">2017-10-11T17:55:00Z</dcterms:created>
  <dcterms:modified xsi:type="dcterms:W3CDTF">2017-10-11T17:55:00Z</dcterms:modified>
</cp:coreProperties>
</file>